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Project Scope</w:t>
      </w:r>
    </w:p>
    <w:p>
      <w:pPr>
        <w:pStyle w:val="Heading1"/>
      </w:pPr>
      <w:r>
        <w:t>Agentic Engineering &amp; Data Modernization</w:t>
      </w:r>
    </w:p>
    <w:p>
      <w:r>
        <w:rPr>
          <w:b/>
          <w:i w:val="0"/>
        </w:rPr>
        <w:t>Prepared for:</w:t>
      </w:r>
      <w:r>
        <w:rPr>
          <w:b w:val="0"/>
          <w:i w:val="0"/>
        </w:rPr>
        <w:t xml:space="preserve"> Evergreen</w:t>
      </w:r>
      <w:r>
        <w:br/>
      </w:r>
      <w:r>
        <w:rPr>
          <w:b w:val="0"/>
          <w:i w:val="0"/>
        </w:rPr>
        <w:br/>
      </w:r>
      <w:r>
        <w:rPr>
          <w:b/>
          <w:i w:val="0"/>
        </w:rPr>
        <w:t>Prepared by:</w:t>
      </w:r>
      <w:r>
        <w:rPr>
          <w:b w:val="0"/>
          <w:i w:val="0"/>
        </w:rPr>
        <w:t xml:space="preserve"> Evan Fischell Consulting</w:t>
      </w:r>
      <w:r>
        <w:br/>
      </w:r>
      <w:r>
        <w:rPr>
          <w:b w:val="0"/>
          <w:i w:val="0"/>
        </w:rPr>
        <w:br/>
      </w:r>
      <w:r>
        <w:rPr>
          <w:b/>
          <w:i w:val="0"/>
        </w:rPr>
        <w:t>Date:</w:t>
      </w:r>
      <w:r>
        <w:rPr>
          <w:b w:val="0"/>
          <w:i w:val="0"/>
        </w:rPr>
        <w:t xml:space="preserve"> September 4, 2026</w:t>
      </w:r>
    </w:p>
    <w:p>
      <w:r>
        <w:rPr>
          <w:b w:val="0"/>
          <w:i w:val="0"/>
        </w:rPr>
        <w:t>Work with Evergreen's team to establish governed agentic engineering and implement a modern data and reporting platform.</w:t>
      </w:r>
    </w:p>
    <w:p>
      <w:r>
        <w:rPr>
          <w:b/>
          <w:i w:val="0"/>
        </w:rPr>
        <w:t>Three months. Three phases.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  <w:i w:val="0"/>
              </w:rPr>
              <w:t>Phase</w:t>
            </w:r>
          </w:p>
        </w:tc>
        <w:tc>
          <w:tcPr>
            <w:tcW w:type="dxa" w:w="4320"/>
          </w:tcPr>
          <w:p>
            <w:r>
              <w:rPr>
                <w:b/>
                <w:i w:val="0"/>
              </w:rPr>
              <w:t>Timing</w:t>
            </w:r>
          </w:p>
        </w:tc>
      </w:tr>
      <w:tr>
        <w:tc>
          <w:tcPr>
            <w:tcW w:type="dxa" w:w="4320"/>
          </w:tcPr>
          <w:p>
            <w:r>
              <w:rPr>
                <w:b w:val="0"/>
                <w:i w:val="0"/>
              </w:rPr>
              <w:t>1 — Agentic Engineering &amp; CI/CD</w:t>
            </w:r>
          </w:p>
        </w:tc>
        <w:tc>
          <w:tcPr>
            <w:tcW w:type="dxa" w:w="4320"/>
          </w:tcPr>
          <w:p>
            <w:r>
              <w:rPr>
                <w:b w:val="0"/>
                <w:i w:val="0"/>
              </w:rPr>
              <w:t>Month 1</w:t>
            </w:r>
          </w:p>
        </w:tc>
      </w:tr>
      <w:tr>
        <w:tc>
          <w:tcPr>
            <w:tcW w:type="dxa" w:w="4320"/>
          </w:tcPr>
          <w:p>
            <w:r>
              <w:rPr>
                <w:b w:val="0"/>
                <w:i w:val="0"/>
              </w:rPr>
              <w:t>2 — Data Platform &amp; Ingestion</w:t>
            </w:r>
          </w:p>
        </w:tc>
        <w:tc>
          <w:tcPr>
            <w:tcW w:type="dxa" w:w="4320"/>
          </w:tcPr>
          <w:p>
            <w:r>
              <w:rPr>
                <w:b w:val="0"/>
                <w:i w:val="0"/>
              </w:rPr>
              <w:t>Month 2</w:t>
            </w:r>
          </w:p>
        </w:tc>
      </w:tr>
      <w:tr>
        <w:tc>
          <w:tcPr>
            <w:tcW w:type="dxa" w:w="4320"/>
          </w:tcPr>
          <w:p>
            <w:r>
              <w:rPr>
                <w:b w:val="0"/>
                <w:i w:val="0"/>
              </w:rPr>
              <w:t>3 — Agentic-First Reporting</w:t>
            </w:r>
          </w:p>
        </w:tc>
        <w:tc>
          <w:tcPr>
            <w:tcW w:type="dxa" w:w="4320"/>
          </w:tcPr>
          <w:p>
            <w:r>
              <w:rPr>
                <w:b w:val="0"/>
                <w:i w:val="0"/>
              </w:rPr>
              <w:t>Month 3</w:t>
            </w:r>
          </w:p>
        </w:tc>
      </w:tr>
    </w:tbl>
    <w:p/>
    <w:p>
      <w:pPr>
        <w:pStyle w:val="Heading2"/>
      </w:pPr>
      <w:r>
        <w:t>Phase 1 — Agentic Engineering &amp; CI/CD</w:t>
      </w:r>
    </w:p>
    <w:p>
      <w:r>
        <w:rPr>
          <w:b/>
          <w:i w:val="0"/>
        </w:rPr>
        <w:t>Duration: one month</w:t>
      </w:r>
    </w:p>
    <w:p>
      <w:r>
        <w:rPr>
          <w:b/>
          <w:i w:val="0"/>
        </w:rPr>
        <w:t>What we will do</w:t>
      </w:r>
    </w:p>
    <w:p>
      <w:pPr>
        <w:pStyle w:val="ListBullet"/>
      </w:pPr>
      <w:r>
        <w:rPr>
          <w:b w:val="0"/>
          <w:i w:val="0"/>
        </w:rPr>
        <w:t>Evaluate token broker options (Azure Foundry, OpenAI, Anthropic, Google), comparing subscription plans and pay-per-token services for cost, permitted use, and data handling; recommend and configure the selected approach.</w:t>
      </w:r>
    </w:p>
    <w:p>
      <w:pPr>
        <w:pStyle w:val="ListBullet"/>
      </w:pPr>
      <w:r>
        <w:rPr>
          <w:b w:val="0"/>
          <w:i w:val="0"/>
        </w:rPr>
        <w:t>Select and configure a coding harness (Claude Code, Codex, or Antigravity), shared skills, agent instructions, and deterministic controls; train the pilot team.</w:t>
      </w:r>
    </w:p>
    <w:p>
      <w:pPr>
        <w:pStyle w:val="ListBullet"/>
      </w:pPr>
      <w:r>
        <w:rPr>
          <w:b w:val="0"/>
          <w:i w:val="0"/>
        </w:rPr>
        <w:t>Implement CI/CD in GitHub Actions or Azure DevOps, including automated tests, review gates, isolated parallel work, approved production promotion, and rollback.</w:t>
      </w:r>
    </w:p>
    <w:p>
      <w:r>
        <w:rPr>
          <w:b/>
          <w:i w:val="0"/>
        </w:rPr>
        <w:t>Done looks like:</w:t>
      </w:r>
      <w:r>
        <w:rPr>
          <w:b w:val="0"/>
          <w:i w:val="0"/>
        </w:rPr>
        <w:t xml:space="preserve"> Evergreen has a governed agentic engineering workflow and CI/CD foundation in place, with the team ready to use them.</w:t>
      </w:r>
    </w:p>
    <w:p>
      <w:pPr>
        <w:pStyle w:val="Heading2"/>
      </w:pPr>
      <w:r>
        <w:t>Phase 2 — Data Platform &amp; Ingestion</w:t>
      </w:r>
    </w:p>
    <w:p>
      <w:r>
        <w:rPr>
          <w:b/>
          <w:i w:val="0"/>
        </w:rPr>
        <w:t>Duration: one month</w:t>
      </w:r>
    </w:p>
    <w:p>
      <w:r>
        <w:rPr>
          <w:b/>
          <w:i w:val="0"/>
        </w:rPr>
        <w:t>What we will do</w:t>
      </w:r>
    </w:p>
    <w:p>
      <w:pPr>
        <w:pStyle w:val="ListBullet"/>
      </w:pPr>
      <w:r>
        <w:rPr>
          <w:b w:val="0"/>
          <w:i w:val="0"/>
        </w:rPr>
        <w:t>Compare Azure SQL and Microsoft Fabric on cost, scalability, and operating requirements; recommend and implement the selected platform.</w:t>
      </w:r>
    </w:p>
    <w:p>
      <w:pPr>
        <w:pStyle w:val="ListBullet"/>
      </w:pPr>
      <w:r>
        <w:rPr>
          <w:b w:val="0"/>
          <w:i w:val="0"/>
        </w:rPr>
        <w:t>Configure access, storage, backup, and recovery; deliver platform configuration through CI/CD.</w:t>
      </w:r>
    </w:p>
    <w:p>
      <w:pPr>
        <w:pStyle w:val="ListBullet"/>
      </w:pPr>
      <w:r>
        <w:rPr>
          <w:b w:val="0"/>
          <w:i w:val="0"/>
        </w:rPr>
        <w:t>Implement scheduled ingestion from agreed Workday and legacy/archive sources, covering up to ten source entities or endpoints agreed at phase start, with validation, restart handling, and failure alerts.</w:t>
      </w:r>
    </w:p>
    <w:p>
      <w:r>
        <w:rPr>
          <w:b/>
          <w:i w:val="0"/>
        </w:rPr>
        <w:t>Done looks like:</w:t>
      </w:r>
      <w:r>
        <w:rPr>
          <w:b w:val="0"/>
          <w:i w:val="0"/>
        </w:rPr>
        <w:t xml:space="preserve"> A modern data platform is in place, with priority data sources connected and a foundation for continued expansion.</w:t>
      </w:r>
    </w:p>
    <w:p>
      <w:pPr>
        <w:pStyle w:val="Heading2"/>
      </w:pPr>
      <w:r>
        <w:t>Phase 3 — Agentic-First Reporting</w:t>
      </w:r>
    </w:p>
    <w:p>
      <w:r>
        <w:rPr>
          <w:b/>
          <w:i w:val="0"/>
        </w:rPr>
        <w:t>Duration: one month</w:t>
      </w:r>
    </w:p>
    <w:p>
      <w:r>
        <w:rPr>
          <w:b/>
          <w:i w:val="0"/>
        </w:rPr>
        <w:t>What we will do</w:t>
      </w:r>
    </w:p>
    <w:p>
      <w:pPr>
        <w:pStyle w:val="ListBullet"/>
      </w:pPr>
      <w:r>
        <w:rPr>
          <w:b w:val="0"/>
          <w:i w:val="0"/>
        </w:rPr>
        <w:t>Compare Microsoft Fabric/Power BI with an open-source approach such as DuckDB and Cube, including licensing, hosting, and support costs; implement the selected environment.</w:t>
      </w:r>
    </w:p>
    <w:p>
      <w:pPr>
        <w:pStyle w:val="ListBullet"/>
      </w:pPr>
      <w:r>
        <w:rPr>
          <w:b w:val="0"/>
          <w:i w:val="0"/>
        </w:rPr>
        <w:t>Build a governed semantic layer with shared metrics and controlled agent access.</w:t>
      </w:r>
    </w:p>
    <w:p>
      <w:pPr>
        <w:pStyle w:val="ListBullet"/>
      </w:pPr>
      <w:r>
        <w:rPr>
          <w:b w:val="0"/>
          <w:i w:val="0"/>
        </w:rPr>
        <w:t>Deliver the priority reports agreed at phase start and train Evergreen's team to maintain and extend them.</w:t>
      </w:r>
    </w:p>
    <w:p>
      <w:r>
        <w:rPr>
          <w:b/>
          <w:i w:val="0"/>
        </w:rPr>
        <w:t>Done looks like:</w:t>
      </w:r>
      <w:r>
        <w:rPr>
          <w:b w:val="0"/>
          <w:i w:val="0"/>
        </w:rPr>
        <w:t xml:space="preserve"> A reporting environment is in place, with initial reporting available and the team equipped to expand it using agentic workflows.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800" w:bottom="936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Confidential | Prepared for Evergreen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Evan Fischell Consulting | Evergreen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F22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F223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223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F2233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Evergreen Project Scope</dc:title>
  <dc:subject/>
  <dc:creator>Evan Fischell Consulting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